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枣庄市人民政府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年度重大行政决策事项目录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Times New Roman"/>
          <w:b w:val="0"/>
          <w:bCs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Cs w:val="32"/>
          <w:lang w:eastAsia="zh-CN"/>
        </w:rPr>
        <w:t>（征求意见稿）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扩大内需战略三年行动方案（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2023-2025年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发展改革委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关于进一步推进教育评价改革工作的若干措施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关于支持民营经济高质量发展的意见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枣庄市国土空间总体规划（2021-2035年）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自然资源和规划局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关于健全完善田长制严格耕地保护的意见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自然资源和规划局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C8D2C2"/>
    <w:multiLevelType w:val="singleLevel"/>
    <w:tmpl w:val="E3C8D2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2023-04-06T01:31:15Z</dcterms:created>
  <dc:creator>Administrator</dc:creator>
  <cp:lastModifiedBy>沐阳流苏</cp:lastModifiedBy>
  <dcterms:modified xsi:type="dcterms:W3CDTF">2023-04-06T01:31:43Z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