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  <w:r>
        <w:rPr>
          <w:rFonts w:eastAsia="黑体"/>
          <w:b/>
          <w:sz w:val="44"/>
          <w:szCs w:val="44"/>
        </w:rPr>
        <w:t>市</w:t>
      </w:r>
      <w:r>
        <w:rPr>
          <w:rFonts w:hint="eastAsia" w:eastAsia="黑体"/>
          <w:b/>
          <w:sz w:val="44"/>
          <w:szCs w:val="44"/>
        </w:rPr>
        <w:t>民族宗教</w:t>
      </w:r>
      <w:r>
        <w:rPr>
          <w:rFonts w:eastAsia="黑体"/>
          <w:b/>
          <w:sz w:val="44"/>
          <w:szCs w:val="44"/>
        </w:rPr>
        <w:t>局、市侨办重大执法决定法制审核目录清单</w:t>
      </w:r>
    </w:p>
    <w:tbl>
      <w:tblPr>
        <w:tblStyle w:val="3"/>
        <w:tblW w:w="13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93"/>
        <w:gridCol w:w="2764"/>
        <w:gridCol w:w="2976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执法类别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审核事项名称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适用情形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实施依据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1</w:t>
            </w:r>
          </w:p>
        </w:tc>
        <w:tc>
          <w:tcPr>
            <w:tcW w:w="1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重大行政许可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1、设立宗教活动场所审批（审核）及宗教活动场所登记；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1、涉及重大公共利益的;</w:t>
            </w: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2、可能造成重大社会影响或引发社会风险的;</w:t>
            </w: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3、直接关系行政相对人或第三人重大权益的</w:t>
            </w: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4、经过听证程序作出行政执法决定的;</w:t>
            </w:r>
          </w:p>
          <w:p>
            <w:pPr>
              <w:spacing w:line="360" w:lineRule="exact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5、案件情况疑难复杂、涉及多个法律关系的;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《宗教事务条例》第二十一条，《宗教活动场所设立审批和登记办法》第三条、第六条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2、宗教活动场所内改建或者新建建筑物审批（审核）；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《宗教事务条例》第三十三条，《宗教事务部分行政许可项目实施办法》第二十二条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3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3、宗教团体成立、变更、注销审查；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《社会团体登记管理条例》第三条，《宗教事务条例》第七条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4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4、举行大型宗教活动审批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《宗教事务条例》第四十二条，《宗教事务部分行政许可项目实施办法》第二十八条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5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5、宗教团体接受境外组织和个人捐赠审批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《宗教事务条例》第五十七条，《宗教事务部分行政许可项目实施办法》第三十九条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6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6、华侨回国定居审批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《山东省归侨侨眷权益保护条例》第三十一条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7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重大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行政处罚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7、对擅自举行大型宗教活动的处罚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1、行政执法主体是否合法;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2、行政执法人员是否具备执法资格;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3、行政执法程序是否合法; 4、案件事实是否清楚、证据是否合法充分;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5、适用法律、法规、规章是否准确,裁量基准运用是否适当;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6、行政执法行为是否超越行政执法机关法定权限;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7、行政执法文书是否完备、规范;</w:t>
            </w:r>
            <w:r>
              <w:rPr>
                <w:rFonts w:eastAsia="方正仿宋_GBK"/>
                <w:b/>
                <w:kern w:val="0"/>
                <w:sz w:val="24"/>
              </w:rPr>
              <w:br w:type="textWrapping"/>
            </w:r>
            <w:r>
              <w:rPr>
                <w:rFonts w:eastAsia="方正仿宋_GBK"/>
                <w:b/>
                <w:kern w:val="0"/>
                <w:sz w:val="24"/>
              </w:rPr>
              <w:t>8、违法行为是否涉嫌犯罪、需要移送司法机关等;</w:t>
            </w:r>
          </w:p>
          <w:p>
            <w:pPr>
              <w:spacing w:after="100" w:afterAutospacing="1"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b/>
                <w:color w:val="000000"/>
                <w:kern w:val="0"/>
                <w:sz w:val="24"/>
              </w:rPr>
              <w:t>9、对违反《宗教事务条例》、《山东省清真食品管理规定》有关规定的行为，对公民处以500元以上罚款，对法人或者其他组织处以20000元以上罚款。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《宗教事务条例》（2017年国务院令第686号）第六十四条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8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8、违反宗教团体、宗教活动场所管理规定的处罚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《宗教事务条例》（2017年国务院令第686号）第二十六条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9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9、对非宗教团体、非宗教活动场所组织、举行宗教活动，接受宗教性捐献的处罚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《宗教事务条例》（2017年国务院令第686号）第六十九条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10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10、对擅自组织信教公民到国外朝觐的处罚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《宗教事务条例》（2017年国务院令第686号）第七十条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11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11、违反修建大型露天宗教造像规定的处罚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100" w:afterAutospacing="1"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《宗教事务条例》（2017年国务院令第686号）第七十二条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12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12、《宗教事务条例》（2017年国务院令第686号）第七十二条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《宗教事务条例》（2017年国务院令第686号）第七十四条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13</w:t>
            </w: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13、对宗教教职人员违反规定的处罚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《山东省宗教事务条例》(2013年修正本)第四十二条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14、违反宗教设施建设规定的处罚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《山东省宗教事务条例》(2013年修正本)第四十三条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15、违反涉外宗教事务规定的处罚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《山东省宗教事务条例》(2013年修正本)第四十四条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16、违反宗教标志物修建规定的处罚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《山东省宗教事务条例》(2013年修正本)第四十五条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17、违反宗教团体、宗教活动场所备案规定的处罚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《社会团体登记管理条例》（国务院第666号）第三十一条</w:t>
            </w:r>
          </w:p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 《山东省宗教事务条例》(2013年修正本)第四十六条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18、强制公民信仰宗教或不信仰宗教、或者干扰宗教团体、宗教活动场所正常的活动的处罚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《宗教事务条例》（2017年国务院令第686号）第六十二条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19、擅自设立宗教活动场所的，宗教活动场所已被撤销登记仍然进行宗教活动的，或者擅自设立宗教院校的处罚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《宗教事务条例》（2017年国务院令第686号）第六十九条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20、</w:t>
            </w:r>
            <w:r>
              <w:rPr>
                <w:rFonts w:eastAsia="方正仿宋_GBK"/>
                <w:b/>
                <w:kern w:val="0"/>
                <w:sz w:val="24"/>
              </w:rPr>
              <w:t>生产、经营清真食品的清真标识转让清真标识给非清真食品生产、经营的单位和个人的处罚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《山东省清真食品管理规定》（2002年11月25日山东省人民政府令第150号）第八条 、第十三条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21、</w:t>
            </w:r>
            <w:r>
              <w:rPr>
                <w:rFonts w:eastAsia="方正仿宋_GBK"/>
                <w:b/>
                <w:kern w:val="0"/>
                <w:sz w:val="24"/>
              </w:rPr>
              <w:t>非回族等少数民族个体工商户悬挂、张贴清真标识的处罚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《山东省清真食品管理规定》（2002年11月25日山东省人民政府令第150号）第九条、第十三条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22、</w:t>
            </w:r>
            <w:r>
              <w:rPr>
                <w:rFonts w:eastAsia="方正仿宋_GBK"/>
                <w:b/>
                <w:kern w:val="0"/>
                <w:sz w:val="24"/>
              </w:rPr>
              <w:t>非清真食品使用带有清真标识包装的处罚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《山东省清真食品管理规定》（2002年11月25日山东省人民政府令第150号）第十条、第十三条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23、</w:t>
            </w:r>
            <w:r>
              <w:rPr>
                <w:rFonts w:eastAsia="方正仿宋_GBK"/>
                <w:b/>
                <w:kern w:val="0"/>
                <w:sz w:val="24"/>
              </w:rPr>
              <w:t>生产、经营清真食品的单位和个人不具备清真食品生产经营条件的处罚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《山东省清真食品管理规定》（2002年11月25日山东省人民政府令第150号）第十三条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24、</w:t>
            </w:r>
            <w:r>
              <w:rPr>
                <w:rFonts w:eastAsia="方正仿宋_GBK"/>
                <w:b/>
                <w:kern w:val="0"/>
                <w:sz w:val="24"/>
              </w:rPr>
              <w:t>清真食品摊位与非清真食品摊位未分开经营的处罚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《山东省清真食品管理规定》（2002年11月25日山东省人民政府令第150号）第十三条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重大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行政强制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02" w:firstLineChars="25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无</w:t>
            </w:r>
          </w:p>
        </w:tc>
        <w:tc>
          <w:tcPr>
            <w:tcW w:w="29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重大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行政征收征用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02" w:firstLineChars="25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4"/>
              </w:rPr>
              <w:t>无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24902"/>
    <w:rsid w:val="40646303"/>
    <w:rsid w:val="4E9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2019-12-31T08:08:00Z</dcterms:created>
  <dc:creator>Administrator</dc:creator>
  <cp:lastModifiedBy>Administrator</cp:lastModifiedBy>
  <dcterms:modified xsi:type="dcterms:W3CDTF">2019-12-31T08:44:17Z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